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5DC6" w14:textId="77777777" w:rsidR="00F56E41" w:rsidRPr="00CD2B65" w:rsidRDefault="00F56E41" w:rsidP="00CD2B65">
      <w:pPr>
        <w:jc w:val="center"/>
        <w:rPr>
          <w:rFonts w:ascii="Times New Roman" w:eastAsiaTheme="minorHAnsi" w:hAnsi="Times New Roman"/>
          <w:caps/>
          <w:sz w:val="24"/>
          <w:szCs w:val="24"/>
        </w:rPr>
      </w:pPr>
      <w:r w:rsidRPr="00CD2B65">
        <w:rPr>
          <w:rFonts w:ascii="Times New Roman" w:eastAsiaTheme="minorHAnsi" w:hAnsi="Times New Roman"/>
          <w:caps/>
          <w:sz w:val="24"/>
          <w:szCs w:val="24"/>
        </w:rPr>
        <w:t xml:space="preserve">Knock down resistance (kdr) of </w:t>
      </w:r>
      <w:r w:rsidRPr="00CD2B65">
        <w:rPr>
          <w:rFonts w:ascii="Times New Roman" w:eastAsiaTheme="minorHAnsi" w:hAnsi="Times New Roman"/>
          <w:i/>
          <w:caps/>
          <w:sz w:val="24"/>
          <w:szCs w:val="24"/>
        </w:rPr>
        <w:t>Anopheles gambiae</w:t>
      </w:r>
      <w:r w:rsidRPr="00CD2B65">
        <w:rPr>
          <w:rFonts w:ascii="Times New Roman" w:eastAsiaTheme="minorHAnsi" w:hAnsi="Times New Roman"/>
          <w:caps/>
          <w:sz w:val="24"/>
          <w:szCs w:val="24"/>
        </w:rPr>
        <w:t xml:space="preserve"> complex (Diptera: Culicidae), an eye opener on resistance surveillance in Zimbabwe.</w:t>
      </w:r>
    </w:p>
    <w:p w14:paraId="27FA463B" w14:textId="46BF0BBE" w:rsidR="00F56E41" w:rsidRPr="00CD2B65" w:rsidRDefault="00F56E41" w:rsidP="00CD2B65">
      <w:pPr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1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Aramu Makuwaza,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1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Nobert Mudare,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1</w:t>
      </w:r>
      <w:r w:rsidR="00F47A02" w:rsidRPr="00CD2B65">
        <w:rPr>
          <w:rFonts w:ascii="Times New Roman" w:eastAsiaTheme="minorHAnsi" w:hAnsi="Times New Roman"/>
          <w:smallCaps/>
          <w:sz w:val="24"/>
          <w:szCs w:val="24"/>
        </w:rPr>
        <w:t xml:space="preserve">Wietske Mushonga,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4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Joel Mouatcho,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4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David Nyasvisvo, </w:t>
      </w:r>
      <w:r w:rsidR="00E03208"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4</w:t>
      </w:r>
      <w:r w:rsidR="00E03208" w:rsidRPr="00CD2B65">
        <w:rPr>
          <w:rFonts w:ascii="Times New Roman" w:eastAsiaTheme="minorHAnsi" w:hAnsi="Times New Roman"/>
          <w:smallCaps/>
          <w:sz w:val="24"/>
          <w:szCs w:val="24"/>
        </w:rPr>
        <w:t xml:space="preserve">Shadreck </w:t>
      </w:r>
      <w:r w:rsidR="00805D8B">
        <w:rPr>
          <w:rFonts w:ascii="Times New Roman" w:eastAsiaTheme="minorHAnsi" w:hAnsi="Times New Roman"/>
          <w:smallCaps/>
          <w:sz w:val="24"/>
          <w:szCs w:val="24"/>
        </w:rPr>
        <w:t>sande</w:t>
      </w:r>
      <w:r w:rsidR="00E03208" w:rsidRPr="00CD2B65">
        <w:rPr>
          <w:rFonts w:ascii="Times New Roman" w:eastAsiaTheme="minorHAnsi" w:hAnsi="Times New Roman"/>
          <w:smallCaps/>
          <w:sz w:val="24"/>
          <w:szCs w:val="24"/>
        </w:rPr>
        <w:t>,</w:t>
      </w:r>
      <w:r w:rsidR="00E03208"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 xml:space="preserve"> 3</w:t>
      </w:r>
      <w:r w:rsidR="00E03208" w:rsidRPr="00CD2B65">
        <w:rPr>
          <w:rFonts w:ascii="Times New Roman" w:eastAsiaTheme="minorHAnsi" w:hAnsi="Times New Roman"/>
          <w:smallCaps/>
          <w:sz w:val="24"/>
          <w:szCs w:val="24"/>
        </w:rPr>
        <w:t>J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>oseph Mberikunashe</w:t>
      </w:r>
      <w:r w:rsidR="00805D8B">
        <w:rPr>
          <w:rFonts w:ascii="Times New Roman" w:eastAsiaTheme="minorHAnsi" w:hAnsi="Times New Roman"/>
          <w:smallCaps/>
          <w:sz w:val="24"/>
          <w:szCs w:val="24"/>
        </w:rPr>
        <w:t>,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2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Susan Mutambu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4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 xml:space="preserve">Hieronymo T. Masendu, &amp; </w:t>
      </w:r>
      <w:r w:rsidRPr="00CD2B65">
        <w:rPr>
          <w:rFonts w:ascii="Times New Roman" w:eastAsiaTheme="minorHAnsi" w:hAnsi="Times New Roman"/>
          <w:smallCaps/>
          <w:sz w:val="24"/>
          <w:szCs w:val="24"/>
          <w:vertAlign w:val="superscript"/>
        </w:rPr>
        <w:t>1</w:t>
      </w:r>
      <w:r w:rsidRPr="00CD2B65">
        <w:rPr>
          <w:rFonts w:ascii="Times New Roman" w:eastAsiaTheme="minorHAnsi" w:hAnsi="Times New Roman"/>
          <w:smallCaps/>
          <w:sz w:val="24"/>
          <w:szCs w:val="24"/>
        </w:rPr>
        <w:t>Sungano Mharakurwa</w:t>
      </w:r>
    </w:p>
    <w:p w14:paraId="4764FBFB" w14:textId="77777777" w:rsidR="00F56E41" w:rsidRPr="00F56E41" w:rsidRDefault="00F56E41" w:rsidP="00C76E2A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56E41">
        <w:rPr>
          <w:rFonts w:ascii="Times New Roman" w:eastAsiaTheme="minorHAnsi" w:hAnsi="Times New Roman"/>
          <w:i/>
          <w:sz w:val="24"/>
          <w:szCs w:val="24"/>
          <w:vertAlign w:val="superscript"/>
        </w:rPr>
        <w:t>1</w:t>
      </w:r>
      <w:r w:rsidRPr="00F56E41">
        <w:rPr>
          <w:rFonts w:ascii="Times New Roman" w:eastAsiaTheme="minorHAnsi" w:hAnsi="Times New Roman"/>
          <w:i/>
          <w:sz w:val="24"/>
          <w:szCs w:val="24"/>
        </w:rPr>
        <w:t>Africa University, Mutare, Zimbabwe</w:t>
      </w:r>
      <w:r w:rsidR="00BD09AA">
        <w:rPr>
          <w:rFonts w:ascii="Times New Roman" w:eastAsiaTheme="minorHAnsi" w:hAnsi="Times New Roman"/>
          <w:i/>
          <w:sz w:val="24"/>
          <w:szCs w:val="24"/>
        </w:rPr>
        <w:t>.</w:t>
      </w:r>
    </w:p>
    <w:p w14:paraId="0823AF05" w14:textId="77777777" w:rsidR="00F56E41" w:rsidRPr="00F56E41" w:rsidRDefault="00F56E41" w:rsidP="00C76E2A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6E41">
        <w:rPr>
          <w:rFonts w:ascii="Times New Roman" w:eastAsia="Times New Roman" w:hAnsi="Times New Roman"/>
          <w:i/>
          <w:sz w:val="24"/>
          <w:szCs w:val="24"/>
          <w:vertAlign w:val="superscript"/>
        </w:rPr>
        <w:t>2</w:t>
      </w:r>
      <w:r w:rsidRPr="00F56E41">
        <w:rPr>
          <w:rFonts w:ascii="Times New Roman" w:eastAsia="Times New Roman" w:hAnsi="Times New Roman"/>
          <w:i/>
          <w:sz w:val="24"/>
          <w:szCs w:val="24"/>
        </w:rPr>
        <w:t>National Institute of Health Research (NIHR), Harare, Zimbabwe</w:t>
      </w:r>
      <w:r w:rsidR="00BD09AA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5BFDF655" w14:textId="77777777" w:rsidR="00F56E41" w:rsidRPr="00F56E41" w:rsidRDefault="00F56E41" w:rsidP="00C76E2A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6E41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F56E41">
        <w:rPr>
          <w:rFonts w:ascii="Times New Roman" w:eastAsia="Times New Roman" w:hAnsi="Times New Roman"/>
          <w:i/>
          <w:sz w:val="24"/>
          <w:szCs w:val="24"/>
        </w:rPr>
        <w:t>National Malaria Control Programme-Zimbabwe</w:t>
      </w:r>
      <w:r w:rsidR="00BD09AA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8DFF877" w14:textId="77777777" w:rsidR="00F56E41" w:rsidRDefault="00F56E41" w:rsidP="00C76E2A">
      <w:pPr>
        <w:pBdr>
          <w:bottom w:val="single" w:sz="6" w:space="5" w:color="D3D1D1"/>
        </w:pBdr>
        <w:shd w:val="clear" w:color="auto" w:fill="FFFFFF"/>
        <w:spacing w:before="360" w:after="120" w:line="240" w:lineRule="auto"/>
        <w:textAlignment w:val="baseline"/>
        <w:outlineLvl w:val="2"/>
        <w:rPr>
          <w:rFonts w:ascii="Times New Roman" w:eastAsia="Times New Roman" w:hAnsi="Times New Roman"/>
          <w:i/>
          <w:sz w:val="24"/>
          <w:szCs w:val="24"/>
        </w:rPr>
      </w:pPr>
      <w:r w:rsidRPr="00D1667B">
        <w:rPr>
          <w:rFonts w:ascii="Times New Roman" w:eastAsiaTheme="minorHAnsi" w:hAnsi="Times New Roman"/>
          <w:sz w:val="24"/>
          <w:szCs w:val="24"/>
          <w:vertAlign w:val="superscript"/>
        </w:rPr>
        <w:t>4</w:t>
      </w:r>
      <w:r w:rsidRPr="00D1667B">
        <w:rPr>
          <w:rFonts w:ascii="Times New Roman" w:eastAsia="Times New Roman" w:hAnsi="Times New Roman"/>
          <w:i/>
          <w:sz w:val="24"/>
          <w:szCs w:val="24"/>
        </w:rPr>
        <w:t>Abt Associates, Harare, Zimbabwe</w:t>
      </w:r>
      <w:r w:rsidR="00BD09AA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34BC20E" w14:textId="77777777" w:rsidR="00D1667B" w:rsidRPr="00D1667B" w:rsidRDefault="00D1667B" w:rsidP="00F56E41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166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Background</w:t>
      </w:r>
    </w:p>
    <w:p w14:paraId="0C6037E1" w14:textId="4E05FB0B" w:rsidR="00F56E41" w:rsidRPr="0037703E" w:rsidRDefault="006D74D3" w:rsidP="0037703E">
      <w:pPr>
        <w:shd w:val="clear" w:color="auto" w:fill="FFFFFF"/>
        <w:spacing w:after="0" w:line="288" w:lineRule="atLeast"/>
        <w:jc w:val="both"/>
        <w:textAlignment w:val="baseline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D100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Establishing the extent, geographical distribution and mechanisms of insecticide resistance in malaria vectors is a prerequisite for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effective </w:t>
      </w:r>
      <w:r w:rsidRPr="004D100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resistance management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. </w:t>
      </w:r>
      <w:r w:rsidR="00D1667B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</w:t>
      </w:r>
      <w:r w:rsidR="00F56E41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he current monitoring of insecticide resistance in Zimbabwe is </w:t>
      </w:r>
      <w:r w:rsidR="00CF534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often </w:t>
      </w:r>
      <w:r w:rsidR="00F56E41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performed reactively or depend</w:t>
      </w:r>
      <w:r w:rsidR="00CF534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ent upon</w:t>
      </w:r>
      <w:r w:rsidR="00F56E41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local projects being conducted.</w:t>
      </w:r>
      <w:r w:rsidR="0037703E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10710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U</w:t>
      </w:r>
      <w:r w:rsidR="0037703E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se of</w:t>
      </w:r>
      <w:r w:rsidR="00D1667B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</w:t>
      </w:r>
      <w:r w:rsidR="00D1667B" w:rsidRPr="00A3004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dult</w:t>
      </w:r>
      <w:r w:rsidR="00D1667B" w:rsidRPr="0037703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 xml:space="preserve"> Anopheles</w:t>
      </w:r>
      <w:r w:rsidR="00D1667B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mosquito</w:t>
      </w:r>
      <w:r w:rsidR="00C2414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es</w:t>
      </w:r>
      <w:r w:rsidR="00D1667B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raised from larvae </w:t>
      </w:r>
      <w:r w:rsidR="0037703E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for</w:t>
      </w:r>
      <w:r w:rsidR="00D1667B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insecticide </w:t>
      </w:r>
      <w:r w:rsidR="0037703E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resistance</w:t>
      </w:r>
      <w:r w:rsidR="004606B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monitoring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37703E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rais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es the risk o</w:t>
      </w:r>
      <w:r w:rsidR="0037703E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 inclusion in the test of high numbers of non-vectors.</w:t>
      </w:r>
      <w:r w:rsidR="00D1667B" w:rsidRPr="0037703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Basing on a combination of different sampling methods, </w:t>
      </w:r>
      <w:r w:rsidR="006F76EE" w:rsidRPr="006F76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we report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findings on the</w:t>
      </w:r>
      <w:r w:rsidR="006F76EE" w:rsidRPr="006F76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distribution of kdr in the major malaria vector</w:t>
      </w:r>
      <w:r w:rsidR="004606B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6F76EE" w:rsidRPr="006F76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F76EE" w:rsidRPr="00A3004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An. gambiae</w:t>
      </w:r>
      <w:r w:rsidR="006F76EE" w:rsidRPr="006F76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829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sl </w:t>
      </w:r>
      <w:r w:rsidR="006F76EE" w:rsidRPr="006F76EE">
        <w:rPr>
          <w:rFonts w:ascii="Times New Roman" w:eastAsia="Times New Roman" w:hAnsi="Times New Roman"/>
          <w:color w:val="000000" w:themeColor="text1"/>
          <w:sz w:val="24"/>
          <w:szCs w:val="24"/>
        </w:rPr>
        <w:t>across Zimbabwe.</w:t>
      </w:r>
    </w:p>
    <w:p w14:paraId="624C6D55" w14:textId="77777777" w:rsidR="00F41B1C" w:rsidRPr="00D1667B" w:rsidRDefault="00F41B1C" w:rsidP="00F56E41">
      <w:pPr>
        <w:shd w:val="clear" w:color="auto" w:fill="FFFFFF"/>
        <w:spacing w:after="0" w:line="288" w:lineRule="atLeast"/>
        <w:textAlignment w:val="baseline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0B485D" w14:textId="77777777" w:rsidR="00D1667B" w:rsidRPr="00D1667B" w:rsidRDefault="00D1667B" w:rsidP="00F56E41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67B">
        <w:rPr>
          <w:rFonts w:ascii="Times New Roman" w:eastAsia="Times New Roman" w:hAnsi="Times New Roman"/>
          <w:b/>
          <w:color w:val="000000"/>
          <w:sz w:val="24"/>
          <w:szCs w:val="24"/>
        </w:rPr>
        <w:t>Methods</w:t>
      </w:r>
    </w:p>
    <w:p w14:paraId="30E3D0F5" w14:textId="4768A49B" w:rsidR="00F56E41" w:rsidRDefault="00D1667B" w:rsidP="00F74017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dult mosquito samples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were </w:t>
      </w:r>
      <w:r w:rsidR="00F47A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collected 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by 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pyrethrum spray catches, 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CDC light 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night-landing </w:t>
      </w:r>
      <w:r w:rsidR="00F47A02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proxy 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catches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, CDC light catches (in</w:t>
      </w:r>
      <w:r w:rsidR="00D20B10">
        <w:rPr>
          <w:rFonts w:ascii="Times New Roman" w:eastAsia="Times New Roman" w:hAnsi="Times New Roman"/>
          <w:color w:val="000000" w:themeColor="text1"/>
          <w:sz w:val="24"/>
          <w:szCs w:val="24"/>
        </w:rPr>
        <w:t>door and o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ut</w:t>
      </w:r>
      <w:r w:rsidR="00D20B10">
        <w:rPr>
          <w:rFonts w:ascii="Times New Roman" w:eastAsia="Times New Roman" w:hAnsi="Times New Roman"/>
          <w:color w:val="000000" w:themeColor="text1"/>
          <w:sz w:val="24"/>
          <w:szCs w:val="24"/>
        </w:rPr>
        <w:t>door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and </w:t>
      </w:r>
      <w:r w:rsidR="006D74D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raising of </w:t>
      </w:r>
      <w:r w:rsidR="00F47A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adults from 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larval </w:t>
      </w:r>
      <w:r w:rsidR="00F47A02">
        <w:rPr>
          <w:rFonts w:ascii="Times New Roman" w:eastAsia="Times New Roman" w:hAnsi="Times New Roman"/>
          <w:color w:val="000000" w:themeColor="text1"/>
          <w:sz w:val="24"/>
          <w:szCs w:val="24"/>
        </w:rPr>
        <w:t>collections</w:t>
      </w:r>
      <w:r w:rsidR="0037703E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These samples were collected from end of year 2016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to end of year 201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7 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from 16 sentinel sites</w:t>
      </w:r>
      <w:r w:rsidR="00A241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nationwide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Vector 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identif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>ication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detection </w:t>
      </w:r>
      <w:r w:rsidR="00A3004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of </w:t>
      </w:r>
      <w:r w:rsidR="00F74017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kdr 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resistance alleles 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>were determined by PCR</w:t>
      </w:r>
      <w:r w:rsidR="00F56E41" w:rsidRPr="00F7401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ED4112F" w14:textId="77777777" w:rsidR="00F74017" w:rsidRPr="00F74017" w:rsidRDefault="00F74017" w:rsidP="00F74017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A40B2C" w14:textId="77777777" w:rsidR="00D1667B" w:rsidRPr="00D1667B" w:rsidRDefault="00D1667B" w:rsidP="00F56E41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667B">
        <w:rPr>
          <w:rFonts w:ascii="Times New Roman" w:eastAsia="Times New Roman" w:hAnsi="Times New Roman"/>
          <w:b/>
          <w:color w:val="000000"/>
          <w:sz w:val="24"/>
          <w:szCs w:val="24"/>
        </w:rPr>
        <w:t>Results</w:t>
      </w:r>
    </w:p>
    <w:p w14:paraId="684D5B51" w14:textId="6EA8061A" w:rsidR="004C65F5" w:rsidRPr="00D1667B" w:rsidRDefault="00D1667B" w:rsidP="00F636D8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0600CC">
        <w:rPr>
          <w:rFonts w:ascii="Times New Roman" w:eastAsia="Times New Roman" w:hAnsi="Times New Roman"/>
          <w:color w:val="000000"/>
          <w:sz w:val="24"/>
          <w:szCs w:val="24"/>
        </w:rPr>
        <w:t>ere was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00CC">
        <w:rPr>
          <w:rFonts w:ascii="Times New Roman" w:eastAsia="Times New Roman" w:hAnsi="Times New Roman"/>
          <w:color w:val="000000"/>
          <w:sz w:val="24"/>
          <w:szCs w:val="24"/>
        </w:rPr>
        <w:t>evidence of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4EAF" w:rsidRPr="00D1667B">
        <w:rPr>
          <w:rFonts w:ascii="Times New Roman" w:eastAsia="Times New Roman" w:hAnsi="Times New Roman"/>
          <w:color w:val="000000"/>
          <w:sz w:val="24"/>
          <w:szCs w:val="24"/>
        </w:rPr>
        <w:t>emerging kdr</w:t>
      </w:r>
      <w:r w:rsidR="002566A0">
        <w:rPr>
          <w:rFonts w:ascii="Times New Roman" w:eastAsia="Times New Roman" w:hAnsi="Times New Roman"/>
          <w:color w:val="000000"/>
          <w:sz w:val="24"/>
          <w:szCs w:val="24"/>
        </w:rPr>
        <w:t xml:space="preserve"> resistance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54EAF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alleles, ranging from </w:t>
      </w:r>
      <w:r w:rsidR="00781A5F" w:rsidRPr="00781A5F">
        <w:rPr>
          <w:rFonts w:ascii="Times New Roman" w:eastAsia="Times New Roman" w:hAnsi="Times New Roman"/>
          <w:color w:val="000000" w:themeColor="text1"/>
          <w:sz w:val="24"/>
          <w:szCs w:val="24"/>
        </w:rPr>
        <w:t>1.2</w:t>
      </w:r>
      <w:r w:rsidR="008E0536" w:rsidRPr="00781A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to 1</w:t>
      </w:r>
      <w:r w:rsidR="00781A5F" w:rsidRPr="00781A5F">
        <w:rPr>
          <w:rFonts w:ascii="Times New Roman" w:eastAsia="Times New Roman" w:hAnsi="Times New Roman"/>
          <w:color w:val="000000" w:themeColor="text1"/>
          <w:sz w:val="24"/>
          <w:szCs w:val="24"/>
        </w:rPr>
        <w:t>9.2</w:t>
      </w:r>
      <w:r w:rsidR="008E0536" w:rsidRPr="00781A5F">
        <w:rPr>
          <w:rFonts w:ascii="Times New Roman" w:eastAsia="Times New Roman" w:hAnsi="Times New Roman"/>
          <w:color w:val="000000" w:themeColor="text1"/>
          <w:sz w:val="24"/>
          <w:szCs w:val="24"/>
        </w:rPr>
        <w:t> %</w:t>
      </w:r>
      <w:r w:rsidR="00107108">
        <w:rPr>
          <w:rFonts w:ascii="Times New Roman" w:eastAsia="Times New Roman" w:hAnsi="Times New Roman"/>
          <w:color w:val="000000" w:themeColor="text1"/>
          <w:sz w:val="24"/>
          <w:szCs w:val="24"/>
        </w:rPr>
        <w:t>, among</w:t>
      </w:r>
      <w:r w:rsidR="008E0536" w:rsidRPr="00781A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F53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2282 </w:t>
      </w:r>
      <w:r w:rsidR="00351140" w:rsidRPr="00D1667B">
        <w:rPr>
          <w:rFonts w:ascii="Times New Roman" w:eastAsia="Times New Roman" w:hAnsi="Times New Roman"/>
          <w:color w:val="000000"/>
          <w:sz w:val="24"/>
          <w:szCs w:val="24"/>
        </w:rPr>
        <w:t>samples</w:t>
      </w:r>
      <w:r w:rsidR="00351140">
        <w:rPr>
          <w:rFonts w:ascii="Times New Roman" w:eastAsia="Times New Roman" w:hAnsi="Times New Roman"/>
          <w:color w:val="000000"/>
          <w:sz w:val="24"/>
          <w:szCs w:val="24"/>
        </w:rPr>
        <w:t xml:space="preserve"> of</w:t>
      </w:r>
      <w:r w:rsidR="00351140" w:rsidRPr="0035114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F41B1C" w:rsidRPr="00351140">
        <w:rPr>
          <w:rFonts w:ascii="Times New Roman" w:eastAsia="Times New Roman" w:hAnsi="Times New Roman"/>
          <w:i/>
          <w:color w:val="000000"/>
          <w:sz w:val="24"/>
          <w:szCs w:val="24"/>
        </w:rPr>
        <w:t>Anopheles gambiae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complex </w:t>
      </w:r>
      <w:r w:rsidR="00351140">
        <w:rPr>
          <w:rFonts w:ascii="Times New Roman" w:eastAsia="Times New Roman" w:hAnsi="Times New Roman"/>
          <w:color w:val="000000"/>
          <w:sz w:val="24"/>
          <w:szCs w:val="24"/>
        </w:rPr>
        <w:t xml:space="preserve">sibling species 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>submitted by sentinel site</w:t>
      </w:r>
      <w:r w:rsidR="004C65F5" w:rsidRPr="00D1667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for species identification after collection </w:t>
      </w:r>
      <w:r w:rsidR="004C65F5" w:rsidRPr="00D1667B">
        <w:rPr>
          <w:rFonts w:ascii="Times New Roman" w:eastAsia="Times New Roman" w:hAnsi="Times New Roman"/>
          <w:color w:val="000000"/>
          <w:sz w:val="24"/>
          <w:szCs w:val="24"/>
        </w:rPr>
        <w:t>of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adults</w:t>
      </w:r>
      <w:r w:rsidR="004C65F5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in and around living structures</w:t>
      </w:r>
      <w:r w:rsidR="00351140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="00781A5F">
        <w:rPr>
          <w:rFonts w:ascii="Times New Roman" w:eastAsia="Times New Roman" w:hAnsi="Times New Roman"/>
          <w:color w:val="000000"/>
          <w:sz w:val="24"/>
          <w:szCs w:val="24"/>
        </w:rPr>
        <w:t xml:space="preserve">adults raised from wild collected </w:t>
      </w:r>
      <w:r w:rsidR="00351140">
        <w:rPr>
          <w:rFonts w:ascii="Times New Roman" w:eastAsia="Times New Roman" w:hAnsi="Times New Roman"/>
          <w:color w:val="000000"/>
          <w:sz w:val="24"/>
          <w:szCs w:val="24"/>
        </w:rPr>
        <w:t>larval stages</w:t>
      </w:r>
      <w:r w:rsidR="004C65F5" w:rsidRPr="00D1667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41B1C" w:rsidRPr="00D166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00CC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>Also demonstrated was th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existence of high numbers of, </w:t>
      </w:r>
      <w:r w:rsidR="000600CC" w:rsidRPr="00C1258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An. quadriannulatus</w:t>
      </w:r>
      <w:r w:rsidR="000600CC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within the </w:t>
      </w:r>
      <w:r w:rsidR="000600CC" w:rsidRPr="00C1258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An. gambiae</w:t>
      </w:r>
      <w:r w:rsidR="000600CC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complex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sibling species collected as adults and when raised to adults from larvae</w:t>
      </w:r>
      <w:r w:rsidR="00C24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which can significantly bias results of resistance tests conducted without confirmatory identification by PCR</w:t>
      </w:r>
      <w:r w:rsidR="000600C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0600CC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AB52570" w14:textId="77777777" w:rsidR="004C65F5" w:rsidRPr="00D1667B" w:rsidRDefault="004C65F5" w:rsidP="00F56E41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6A32ED" w14:textId="77777777" w:rsidR="009D512C" w:rsidRPr="009D512C" w:rsidRDefault="009D512C" w:rsidP="00F56E41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D512C">
        <w:rPr>
          <w:rFonts w:ascii="Times New Roman" w:eastAsia="Times New Roman" w:hAnsi="Times New Roman"/>
          <w:b/>
          <w:color w:val="000000"/>
          <w:sz w:val="24"/>
          <w:szCs w:val="24"/>
        </w:rPr>
        <w:t>Conclusion</w:t>
      </w:r>
      <w:r w:rsidR="00D20B10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</w:p>
    <w:p w14:paraId="0F305DAE" w14:textId="181EFE5E" w:rsidR="009236A5" w:rsidRDefault="000600CC" w:rsidP="00C1258C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There </w:t>
      </w:r>
      <w:r w:rsidR="00853310">
        <w:rPr>
          <w:rFonts w:ascii="Times New Roman" w:eastAsia="Times New Roman" w:hAnsi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</w:t>
      </w:r>
      <w:r w:rsidR="00CA2EFE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>merging kdr muta</w:t>
      </w:r>
      <w:r w:rsidR="00853310">
        <w:rPr>
          <w:rFonts w:ascii="Times New Roman" w:eastAsia="Times New Roman" w:hAnsi="Times New Roman"/>
          <w:color w:val="000000" w:themeColor="text1"/>
          <w:sz w:val="24"/>
          <w:szCs w:val="24"/>
        </w:rPr>
        <w:t>nts</w:t>
      </w:r>
      <w:r w:rsidR="008D52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among vector</w:t>
      </w:r>
      <w:r w:rsidR="009D512C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D512C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>collected from sentinel sites</w:t>
      </w:r>
      <w:r w:rsidR="00CA2EFE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56E41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24145">
        <w:rPr>
          <w:rFonts w:ascii="Times New Roman" w:eastAsia="Times New Roman" w:hAnsi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ontinued monitoring</w:t>
      </w:r>
      <w:r w:rsidR="008533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is recommended </w:t>
      </w:r>
      <w:r w:rsidR="00CF53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at least biennially </w:t>
      </w:r>
      <w:r w:rsidR="00853310">
        <w:rPr>
          <w:rFonts w:ascii="Times New Roman" w:eastAsia="Times New Roman" w:hAnsi="Times New Roman"/>
          <w:color w:val="000000" w:themeColor="text1"/>
          <w:sz w:val="24"/>
          <w:szCs w:val="24"/>
        </w:rPr>
        <w:t>to enable timely interventions before escalation to levels that can trigger programme failure</w:t>
      </w:r>
      <w:r w:rsidR="00F56E41" w:rsidRPr="00C1258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C24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Confirmatory PCR identification </w:t>
      </w:r>
      <w:r w:rsidR="00BE0055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C24145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="00BE00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recommended </w:t>
      </w:r>
      <w:bookmarkStart w:id="0" w:name="_GoBack"/>
      <w:bookmarkEnd w:id="0"/>
      <w:r w:rsidR="00C24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for vector resistance tests </w:t>
      </w:r>
      <w:r w:rsidR="00D20B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as high abundance of non-vector sibling species can substantially bias the findings. </w:t>
      </w:r>
    </w:p>
    <w:p w14:paraId="00FAC35B" w14:textId="063AE617" w:rsidR="004F4C4D" w:rsidRPr="004F4C4D" w:rsidRDefault="004F4C4D" w:rsidP="00C1258C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F4C4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Financial support for this study was provided by the US President's Malaria Initiative.</w:t>
      </w:r>
    </w:p>
    <w:p w14:paraId="567CAFBC" w14:textId="77777777" w:rsidR="005A6804" w:rsidRDefault="005A6804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5A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B5A0F" w16cid:durableId="1EEDF7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9044" w14:textId="77777777" w:rsidR="0010453C" w:rsidRDefault="0010453C" w:rsidP="001A1B7D">
      <w:pPr>
        <w:spacing w:after="0" w:line="240" w:lineRule="auto"/>
      </w:pPr>
      <w:r>
        <w:separator/>
      </w:r>
    </w:p>
  </w:endnote>
  <w:endnote w:type="continuationSeparator" w:id="0">
    <w:p w14:paraId="27EEF388" w14:textId="77777777" w:rsidR="0010453C" w:rsidRDefault="0010453C" w:rsidP="001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A74D" w14:textId="77777777" w:rsidR="0010453C" w:rsidRDefault="0010453C" w:rsidP="001A1B7D">
      <w:pPr>
        <w:spacing w:after="0" w:line="240" w:lineRule="auto"/>
      </w:pPr>
      <w:r>
        <w:separator/>
      </w:r>
    </w:p>
  </w:footnote>
  <w:footnote w:type="continuationSeparator" w:id="0">
    <w:p w14:paraId="0DE6CDDD" w14:textId="77777777" w:rsidR="0010453C" w:rsidRDefault="0010453C" w:rsidP="001A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1"/>
    <w:rsid w:val="00030300"/>
    <w:rsid w:val="00037A58"/>
    <w:rsid w:val="000600CC"/>
    <w:rsid w:val="00073788"/>
    <w:rsid w:val="00086238"/>
    <w:rsid w:val="0010453C"/>
    <w:rsid w:val="00107108"/>
    <w:rsid w:val="001A1B7D"/>
    <w:rsid w:val="001C3FB8"/>
    <w:rsid w:val="001D6DA1"/>
    <w:rsid w:val="002437C4"/>
    <w:rsid w:val="00252CD1"/>
    <w:rsid w:val="002566A0"/>
    <w:rsid w:val="00300506"/>
    <w:rsid w:val="00311978"/>
    <w:rsid w:val="00330A48"/>
    <w:rsid w:val="00350CF7"/>
    <w:rsid w:val="00351140"/>
    <w:rsid w:val="00365F7D"/>
    <w:rsid w:val="0037703E"/>
    <w:rsid w:val="0038297A"/>
    <w:rsid w:val="003A37C9"/>
    <w:rsid w:val="00427FAD"/>
    <w:rsid w:val="00454AA1"/>
    <w:rsid w:val="004606B1"/>
    <w:rsid w:val="004C65F5"/>
    <w:rsid w:val="004D1005"/>
    <w:rsid w:val="004F4C4D"/>
    <w:rsid w:val="00592748"/>
    <w:rsid w:val="005A6804"/>
    <w:rsid w:val="00636FAC"/>
    <w:rsid w:val="00654EAF"/>
    <w:rsid w:val="00657AE2"/>
    <w:rsid w:val="00676BF0"/>
    <w:rsid w:val="006D74D3"/>
    <w:rsid w:val="006F24D4"/>
    <w:rsid w:val="006F76EE"/>
    <w:rsid w:val="00781A5F"/>
    <w:rsid w:val="00805D8B"/>
    <w:rsid w:val="008518FD"/>
    <w:rsid w:val="00853310"/>
    <w:rsid w:val="00854D33"/>
    <w:rsid w:val="008752AD"/>
    <w:rsid w:val="008D5249"/>
    <w:rsid w:val="008E0536"/>
    <w:rsid w:val="009236A5"/>
    <w:rsid w:val="009D512C"/>
    <w:rsid w:val="009E5E39"/>
    <w:rsid w:val="009F751F"/>
    <w:rsid w:val="00A0044B"/>
    <w:rsid w:val="00A24109"/>
    <w:rsid w:val="00A3004B"/>
    <w:rsid w:val="00A54304"/>
    <w:rsid w:val="00A70190"/>
    <w:rsid w:val="00A77151"/>
    <w:rsid w:val="00AA7C26"/>
    <w:rsid w:val="00B20F93"/>
    <w:rsid w:val="00B42CCE"/>
    <w:rsid w:val="00B51FC7"/>
    <w:rsid w:val="00BD09AA"/>
    <w:rsid w:val="00BE0055"/>
    <w:rsid w:val="00BF0A5C"/>
    <w:rsid w:val="00C06C52"/>
    <w:rsid w:val="00C1258C"/>
    <w:rsid w:val="00C22441"/>
    <w:rsid w:val="00C24145"/>
    <w:rsid w:val="00C7105F"/>
    <w:rsid w:val="00C76E2A"/>
    <w:rsid w:val="00CA2EFE"/>
    <w:rsid w:val="00CD0FE4"/>
    <w:rsid w:val="00CD2B65"/>
    <w:rsid w:val="00CF5349"/>
    <w:rsid w:val="00D1667B"/>
    <w:rsid w:val="00D20B10"/>
    <w:rsid w:val="00D272D4"/>
    <w:rsid w:val="00E03208"/>
    <w:rsid w:val="00E17709"/>
    <w:rsid w:val="00E213BD"/>
    <w:rsid w:val="00E8393E"/>
    <w:rsid w:val="00F1339C"/>
    <w:rsid w:val="00F41B1C"/>
    <w:rsid w:val="00F47A02"/>
    <w:rsid w:val="00F56E41"/>
    <w:rsid w:val="00F6100F"/>
    <w:rsid w:val="00F636D8"/>
    <w:rsid w:val="00F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05C0"/>
  <w15:docId w15:val="{672B7029-242E-4014-95C2-52B1F9C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5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Makuwaza</dc:creator>
  <cp:lastModifiedBy>Sungano Mharakurwa</cp:lastModifiedBy>
  <cp:revision>2</cp:revision>
  <dcterms:created xsi:type="dcterms:W3CDTF">2018-07-11T19:01:00Z</dcterms:created>
  <dcterms:modified xsi:type="dcterms:W3CDTF">2018-07-11T19:01:00Z</dcterms:modified>
</cp:coreProperties>
</file>